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3" w:name="_GoBack"/>
      <w:r>
        <w:rPr>
          <w:rFonts w:hint="eastAsia" w:ascii="宋体" w:hAnsi="宋体" w:eastAsia="宋体" w:cs="宋体"/>
          <w:color w:val="auto"/>
          <w:w w:val="80"/>
          <w:szCs w:val="44"/>
          <w:highlight w:val="none"/>
          <w:lang w:eastAsia="zh-CN"/>
        </w:rPr>
        <w:t>南通市城市管理局网络安全等级保护测评及安全运维服务项目</w:t>
      </w:r>
      <w:r>
        <w:rPr>
          <w:rFonts w:hint="eastAsia" w:ascii="宋体" w:hAnsi="宋体" w:eastAsia="宋体" w:cs="宋体"/>
          <w:color w:val="auto"/>
          <w:w w:val="80"/>
          <w:szCs w:val="44"/>
          <w:highlight w:val="none"/>
        </w:rPr>
        <w:t>需求</w:t>
      </w:r>
    </w:p>
    <w:bookmarkEnd w:id="3"/>
    <w:p>
      <w:pPr>
        <w:autoSpaceDE w:val="0"/>
        <w:autoSpaceDN w:val="0"/>
        <w:adjustRightInd w:val="0"/>
        <w:spacing w:line="360" w:lineRule="auto"/>
        <w:ind w:firstLine="470" w:firstLineChars="196"/>
        <w:rPr>
          <w:rFonts w:hint="eastAsia" w:ascii="宋体" w:hAnsi="宋体" w:eastAsia="宋体" w:cs="宋体"/>
          <w:color w:val="auto"/>
          <w:sz w:val="24"/>
          <w:szCs w:val="24"/>
          <w:highlight w:val="none"/>
        </w:rPr>
      </w:pPr>
    </w:p>
    <w:p>
      <w:pPr>
        <w:numPr>
          <w:ilvl w:val="0"/>
          <w:numId w:val="1"/>
        </w:numPr>
        <w:autoSpaceDE w:val="0"/>
        <w:autoSpaceDN w:val="0"/>
        <w:adjustRightIn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背景</w:t>
      </w:r>
      <w:r>
        <w:rPr>
          <w:rFonts w:hint="eastAsia" w:ascii="宋体" w:hAnsi="宋体" w:eastAsia="宋体" w:cs="宋体"/>
          <w:b/>
          <w:bCs/>
          <w:color w:val="auto"/>
          <w:sz w:val="24"/>
          <w:szCs w:val="24"/>
          <w:highlight w:val="none"/>
        </w:rPr>
        <w:t>：</w:t>
      </w:r>
    </w:p>
    <w:p>
      <w:pPr>
        <w:adjustRightInd w:val="0"/>
        <w:snapToGrid w:val="0"/>
        <w:spacing w:line="560" w:lineRule="exact"/>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网络安全在我国新的互联网发展形势下已经变的越来越重要，伴随着《网络安全法》的颁布，全国范围的所有网络运营单位都在响应法律号召，积极做好网络安全防护工作，落实网络安全等级保护制度。</w:t>
      </w:r>
    </w:p>
    <w:p>
      <w:pPr>
        <w:adjustRightInd w:val="0"/>
        <w:snapToGrid w:val="0"/>
        <w:spacing w:line="560" w:lineRule="exact"/>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南通市城市管理局</w:t>
      </w:r>
      <w:r>
        <w:rPr>
          <w:rFonts w:hint="eastAsia" w:ascii="宋体" w:hAnsi="宋体" w:eastAsia="宋体" w:cs="宋体"/>
          <w:color w:val="auto"/>
          <w:sz w:val="24"/>
          <w:szCs w:val="24"/>
          <w:highlight w:val="none"/>
          <w:shd w:val="clear" w:color="auto" w:fill="FFFFFF"/>
        </w:rPr>
        <w:t>对此也高度重视积极响应，定期对单位</w:t>
      </w:r>
      <w:r>
        <w:rPr>
          <w:rFonts w:hint="eastAsia" w:ascii="宋体" w:hAnsi="宋体" w:eastAsia="宋体" w:cs="宋体"/>
          <w:color w:val="auto"/>
          <w:sz w:val="24"/>
          <w:szCs w:val="24"/>
          <w:highlight w:val="none"/>
          <w:shd w:val="clear" w:color="auto" w:fill="FFFFFF"/>
          <w:lang w:val="en-US" w:eastAsia="zh-CN"/>
        </w:rPr>
        <w:t>网络</w:t>
      </w:r>
      <w:r>
        <w:rPr>
          <w:rFonts w:hint="eastAsia" w:ascii="宋体" w:hAnsi="宋体" w:eastAsia="宋体" w:cs="宋体"/>
          <w:color w:val="auto"/>
          <w:sz w:val="24"/>
          <w:szCs w:val="24"/>
          <w:highlight w:val="none"/>
          <w:shd w:val="clear" w:color="auto" w:fill="FFFFFF"/>
        </w:rPr>
        <w:t>系统进行网络安全等级测评工作，以及同步对网络进行安全建设整改。现为进一步缩小单位网络与国家等级保护GB/T 22239-2019《信息安全技术 网络安全等级保护基本要求》标准之间的差距，参照国家等级保护GB/T 22239-2019《信息安全技术 网络安全等级保护基本要求》标准（2.0标准），采购专业的网络安全服务对单位信息系统进行网络安全防护。</w:t>
      </w:r>
    </w:p>
    <w:p>
      <w:pPr>
        <w:adjustRightInd w:val="0"/>
        <w:snapToGrid w:val="0"/>
        <w:spacing w:before="95" w:line="540" w:lineRule="exact"/>
        <w:ind w:left="7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服务需求清单</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1、等保测评服务内容</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379"/>
        <w:gridCol w:w="1188"/>
        <w:gridCol w:w="120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0"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69"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c>
          <w:tcPr>
            <w:tcW w:w="697"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系统数量</w:t>
            </w:r>
          </w:p>
        </w:tc>
        <w:tc>
          <w:tcPr>
            <w:tcW w:w="706"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备案情况</w:t>
            </w:r>
          </w:p>
        </w:tc>
        <w:tc>
          <w:tcPr>
            <w:tcW w:w="616"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0" w:type="pct"/>
            <w:noWrap w:val="0"/>
            <w:vAlign w:val="center"/>
          </w:tcPr>
          <w:p>
            <w:pPr>
              <w:pStyle w:val="7"/>
              <w:numPr>
                <w:ilvl w:val="0"/>
                <w:numId w:val="2"/>
              </w:numPr>
              <w:spacing w:line="360" w:lineRule="auto"/>
              <w:ind w:firstLineChars="0"/>
              <w:jc w:val="center"/>
              <w:rPr>
                <w:rFonts w:hint="eastAsia" w:ascii="宋体" w:hAnsi="宋体" w:eastAsia="宋体" w:cs="宋体"/>
                <w:color w:val="auto"/>
                <w:sz w:val="24"/>
                <w:szCs w:val="24"/>
                <w:highlight w:val="none"/>
              </w:rPr>
            </w:pPr>
          </w:p>
        </w:tc>
        <w:tc>
          <w:tcPr>
            <w:tcW w:w="2569" w:type="pct"/>
            <w:noWrap w:val="0"/>
            <w:vAlign w:val="center"/>
          </w:tcPr>
          <w:p>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南通市</w:t>
            </w:r>
            <w:r>
              <w:rPr>
                <w:rFonts w:hint="eastAsia" w:ascii="宋体" w:hAnsi="宋体" w:eastAsia="宋体" w:cs="宋体"/>
                <w:color w:val="auto"/>
                <w:sz w:val="24"/>
                <w:szCs w:val="24"/>
                <w:highlight w:val="none"/>
                <w:lang w:val="en-US" w:eastAsia="zh-CN"/>
              </w:rPr>
              <w:t>智慧停车综合监管平台</w:t>
            </w:r>
          </w:p>
        </w:tc>
        <w:tc>
          <w:tcPr>
            <w:tcW w:w="697"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706" w:type="pct"/>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三级</w:t>
            </w:r>
          </w:p>
        </w:tc>
        <w:tc>
          <w:tcPr>
            <w:tcW w:w="616" w:type="pct"/>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0" w:type="pct"/>
            <w:noWrap w:val="0"/>
            <w:vAlign w:val="center"/>
          </w:tcPr>
          <w:p>
            <w:pPr>
              <w:pStyle w:val="7"/>
              <w:numPr>
                <w:ilvl w:val="0"/>
                <w:numId w:val="2"/>
              </w:numPr>
              <w:spacing w:line="360" w:lineRule="auto"/>
              <w:ind w:firstLineChars="0"/>
              <w:jc w:val="center"/>
              <w:rPr>
                <w:rFonts w:hint="eastAsia" w:ascii="宋体" w:hAnsi="宋体" w:eastAsia="宋体" w:cs="宋体"/>
                <w:color w:val="auto"/>
                <w:sz w:val="24"/>
                <w:szCs w:val="24"/>
                <w:highlight w:val="none"/>
              </w:rPr>
            </w:pPr>
          </w:p>
        </w:tc>
        <w:tc>
          <w:tcPr>
            <w:tcW w:w="2569" w:type="pct"/>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南通市建筑垃圾监管服务综合管理系统</w:t>
            </w:r>
          </w:p>
        </w:tc>
        <w:tc>
          <w:tcPr>
            <w:tcW w:w="697"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706" w:type="pct"/>
            <w:noWrap w:val="0"/>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二级</w:t>
            </w:r>
          </w:p>
        </w:tc>
        <w:tc>
          <w:tcPr>
            <w:tcW w:w="616" w:type="pct"/>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0" w:type="pct"/>
            <w:noWrap w:val="0"/>
            <w:vAlign w:val="center"/>
          </w:tcPr>
          <w:p>
            <w:pPr>
              <w:pStyle w:val="7"/>
              <w:numPr>
                <w:ilvl w:val="0"/>
                <w:numId w:val="2"/>
              </w:numPr>
              <w:spacing w:line="360" w:lineRule="auto"/>
              <w:ind w:firstLineChars="0"/>
              <w:jc w:val="center"/>
              <w:rPr>
                <w:rFonts w:hint="eastAsia" w:ascii="宋体" w:hAnsi="宋体" w:eastAsia="宋体" w:cs="宋体"/>
                <w:color w:val="auto"/>
                <w:sz w:val="24"/>
                <w:szCs w:val="24"/>
                <w:highlight w:val="none"/>
              </w:rPr>
            </w:pPr>
          </w:p>
        </w:tc>
        <w:tc>
          <w:tcPr>
            <w:tcW w:w="2569" w:type="pct"/>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南通市城市管理综合执法平台</w:t>
            </w:r>
          </w:p>
        </w:tc>
        <w:tc>
          <w:tcPr>
            <w:tcW w:w="697" w:type="pc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706" w:type="pct"/>
            <w:noWrap w:val="0"/>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二级</w:t>
            </w:r>
          </w:p>
        </w:tc>
        <w:tc>
          <w:tcPr>
            <w:tcW w:w="616" w:type="pct"/>
            <w:noWrap w:val="0"/>
            <w:vAlign w:val="center"/>
          </w:tcPr>
          <w:p>
            <w:pPr>
              <w:spacing w:line="360" w:lineRule="auto"/>
              <w:rPr>
                <w:rFonts w:hint="eastAsia" w:ascii="宋体" w:hAnsi="宋体" w:eastAsia="宋体" w:cs="宋体"/>
                <w:color w:val="auto"/>
                <w:sz w:val="24"/>
                <w:szCs w:val="24"/>
                <w:highlight w:val="none"/>
              </w:rPr>
            </w:pPr>
          </w:p>
        </w:tc>
      </w:tr>
    </w:tbl>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2、网络安全服务内容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091"/>
        <w:gridCol w:w="559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服务项目</w:t>
            </w:r>
          </w:p>
        </w:tc>
        <w:tc>
          <w:tcPr>
            <w:tcW w:w="6314"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服务内容</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安全巡检（核查）服务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1.安全配置检查服务：检查安全设备的安全策略是否合规，配置是否生效、特征库等是否更新；</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2.逐一核查本单位的重要信息系统，特别是关基、功能和服务范围是否同互联网连接；</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3.逐一核查设备、软件漏洞情况及数量；</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4.核查高危漏口关闭、核查漏洞补丁，禁止共享和远程桌面；</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5.邮件系统核查：更新密码、删除离职人员账户、关闭自动转发功能；是否使用社会邮箱；</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6.核查网络防护、定时扫描发现篡改、劫持、暗链发现等事件、是否能抵御DDOS攻击；</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7.核查云平台是否通过安全评估；</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8.其他应该核查的内容。 </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rPr>
              <w:t>内每月1次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安全日志分析</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bookmarkStart w:id="0" w:name="_Hlk77260265"/>
            <w:r>
              <w:rPr>
                <w:rFonts w:hint="eastAsia" w:ascii="宋体" w:hAnsi="宋体" w:eastAsia="宋体" w:cs="宋体"/>
                <w:color w:val="auto"/>
                <w:sz w:val="24"/>
                <w:szCs w:val="24"/>
                <w:highlight w:val="none"/>
                <w:lang w:val="zh-CN"/>
              </w:rPr>
              <w:t>对网络中所有安全系统包括防病毒、客户端管理系统的日志汇总与分析，评估网络安全系统的运行状态。</w:t>
            </w:r>
            <w:bookmarkEnd w:id="0"/>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rPr>
              <w:t>内每季度1次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bookmarkStart w:id="1" w:name="_Hlk77260241"/>
            <w:r>
              <w:rPr>
                <w:rFonts w:hint="eastAsia" w:ascii="宋体" w:hAnsi="宋体" w:eastAsia="宋体" w:cs="宋体"/>
                <w:color w:val="auto"/>
                <w:sz w:val="24"/>
                <w:szCs w:val="24"/>
                <w:highlight w:val="none"/>
                <w:lang w:val="zh-CN"/>
              </w:rPr>
              <w:t>漏洞扫描</w:t>
            </w:r>
            <w:bookmarkEnd w:id="1"/>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1.对网络设备、安全设备、服务器操作系统和业务应用系统的安全扫描检测服务，通过安全扫描检查设备操作系统和应用系统的漏洞；</w:t>
            </w:r>
          </w:p>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2.有新设备或新业务上线时，对业务及设备进行安全扫描检查，并提供结果报告。</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rPr>
              <w:t>内每月1次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网络安全加固</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提供安全设备的配置核查，并定期进行日志分析，对当前的网络攻击给出合理有效建议，并优化安全设备的配置以达到更安全的目标。</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rPr>
              <w:t>内每月1次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等保云防服务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提供服务期一年的网站防护服务。</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应急演练服务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在服务过程中，提供一次信息系统网络安全应急演练相关服务。提供完整的应急演练方案，同时做好应急演练相关预案。应急演练完成后提供相关应急演练报告。</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rPr>
              <w:t>内1次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安全咨询服务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日常咨询服务、项目咨询服务</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按需、实时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应急响应服务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对发生的安全事件，如恶意攻击、病毒入侵等协助进行应急响应处理。</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按需、实时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0"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149"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安全培训服务</w:t>
            </w:r>
          </w:p>
        </w:tc>
        <w:tc>
          <w:tcPr>
            <w:tcW w:w="6314" w:type="dxa"/>
            <w:noWrap w:val="0"/>
            <w:vAlign w:val="center"/>
          </w:tcPr>
          <w:p>
            <w:pPr>
              <w:widowControl/>
              <w:adjustRightInd w:val="0"/>
              <w:spacing w:line="360" w:lineRule="auto"/>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合同期限内对单位内部人员开展集中的网络安全培训1次，提供培训的讲师及培训内容资料。</w:t>
            </w:r>
          </w:p>
        </w:tc>
        <w:tc>
          <w:tcPr>
            <w:tcW w:w="1117" w:type="dxa"/>
            <w:noWrap w:val="0"/>
            <w:vAlign w:val="center"/>
          </w:tcPr>
          <w:p>
            <w:pPr>
              <w:widowControl/>
              <w:adjustRightInd w:val="0"/>
              <w:spacing w:line="360" w:lineRule="auto"/>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1次</w:t>
            </w:r>
          </w:p>
        </w:tc>
      </w:tr>
    </w:tbl>
    <w:p>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3、提供网站安全及微信公众号等相关业务</w:t>
      </w:r>
    </w:p>
    <w:p>
      <w:pPr>
        <w:adjustRightInd w:val="0"/>
        <w:snapToGrid w:val="0"/>
        <w:spacing w:line="560" w:lineRule="exact"/>
        <w:ind w:firstLine="480" w:firstLineChars="200"/>
        <w:jc w:val="left"/>
        <w:rPr>
          <w:rFonts w:hint="default" w:ascii="宋体" w:hAnsi="宋体" w:eastAsia="宋体" w:cs="宋体"/>
          <w:color w:val="auto"/>
          <w:sz w:val="24"/>
          <w:szCs w:val="24"/>
          <w:highlight w:val="none"/>
          <w:shd w:val="clear" w:color="auto" w:fill="FFFFFF"/>
          <w:lang w:val="zh-CN" w:eastAsia="zh-CN"/>
        </w:rPr>
      </w:pPr>
      <w:r>
        <w:rPr>
          <w:rFonts w:hint="default" w:ascii="宋体" w:hAnsi="宋体" w:eastAsia="宋体" w:cs="宋体"/>
          <w:color w:val="auto"/>
          <w:sz w:val="24"/>
          <w:szCs w:val="24"/>
          <w:highlight w:val="none"/>
          <w:shd w:val="clear" w:color="auto" w:fill="FFFFFF"/>
          <w:lang w:val="zh-CN" w:eastAsia="zh-CN"/>
        </w:rPr>
        <w:t>3.1对南通市城市管理局网站及微信公众号提供7*24小时可用性检测。发现访问异常后报告，并协助处置。</w:t>
      </w:r>
    </w:p>
    <w:p>
      <w:pPr>
        <w:adjustRightInd w:val="0"/>
        <w:snapToGrid w:val="0"/>
        <w:spacing w:before="108" w:line="360" w:lineRule="auto"/>
        <w:ind w:firstLine="480" w:firstLineChars="200"/>
        <w:rPr>
          <w:rFonts w:hint="eastAsia" w:ascii="宋体" w:hAnsi="宋体" w:eastAsia="宋体" w:cs="宋体"/>
          <w:b/>
          <w:color w:val="auto"/>
          <w:sz w:val="24"/>
          <w:szCs w:val="24"/>
          <w:highlight w:val="none"/>
          <w:lang w:val="en-US" w:eastAsia="zh-CN"/>
        </w:rPr>
      </w:pPr>
      <w:r>
        <w:rPr>
          <w:rFonts w:hint="default" w:ascii="宋体" w:hAnsi="宋体" w:eastAsia="宋体" w:cs="宋体"/>
          <w:color w:val="auto"/>
          <w:sz w:val="24"/>
          <w:szCs w:val="24"/>
          <w:highlight w:val="none"/>
          <w:shd w:val="clear" w:color="auto" w:fill="FFFFFF"/>
          <w:lang w:val="zh-CN" w:eastAsia="zh-CN"/>
        </w:rPr>
        <w:t>3.2定期每月对网站系统开展应用系统漏洞扫描，发现漏洞及时配合软件开发商及时修补相关漏洞。</w:t>
      </w:r>
    </w:p>
    <w:p>
      <w:pPr>
        <w:adjustRightInd w:val="0"/>
        <w:snapToGrid w:val="0"/>
        <w:spacing w:before="108"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具体需求说明</w:t>
      </w:r>
    </w:p>
    <w:p>
      <w:pPr>
        <w:pStyle w:val="3"/>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等保测评</w:t>
      </w:r>
      <w:r>
        <w:rPr>
          <w:rFonts w:hint="eastAsia" w:ascii="宋体" w:hAnsi="宋体" w:eastAsia="宋体" w:cs="宋体"/>
          <w:color w:val="auto"/>
          <w:sz w:val="24"/>
          <w:szCs w:val="24"/>
          <w:highlight w:val="none"/>
          <w:lang w:val="en-US" w:eastAsia="zh-CN"/>
        </w:rPr>
        <w:t>需求</w:t>
      </w:r>
    </w:p>
    <w:p>
      <w:pPr>
        <w:keepNext/>
        <w:keepLines/>
        <w:pageBreakBefore w:val="0"/>
        <w:widowControl w:val="0"/>
        <w:numPr>
          <w:ilvl w:val="1"/>
          <w:numId w:val="0"/>
        </w:numPr>
        <w:tabs>
          <w:tab w:val="left" w:pos="992"/>
        </w:tabs>
        <w:kinsoku/>
        <w:wordWrap/>
        <w:overflowPunct/>
        <w:topLinePunct w:val="0"/>
        <w:autoSpaceDE/>
        <w:autoSpaceDN/>
        <w:bidi w:val="0"/>
        <w:spacing w:before="260" w:after="260" w:line="360" w:lineRule="auto"/>
        <w:ind w:left="576"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测评内容</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A．完成上述系统安全等级测评工作，测评后经用户方确认，出具符合</w:t>
      </w:r>
      <w:r>
        <w:rPr>
          <w:rStyle w:val="8"/>
          <w:rFonts w:hint="eastAsia" w:ascii="宋体" w:hAnsi="宋体" w:eastAsia="宋体" w:cs="宋体"/>
          <w:color w:val="auto"/>
          <w:sz w:val="24"/>
          <w:szCs w:val="24"/>
          <w:highlight w:val="none"/>
        </w:rPr>
        <w:t>网络安全等级保护</w:t>
      </w:r>
      <w:r>
        <w:rPr>
          <w:rFonts w:hint="eastAsia" w:ascii="宋体" w:hAnsi="宋体" w:eastAsia="宋体" w:cs="宋体"/>
          <w:color w:val="auto"/>
          <w:sz w:val="24"/>
          <w:szCs w:val="24"/>
          <w:highlight w:val="none"/>
        </w:rPr>
        <w:t>测评要求的测评报告；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B．对上述系统不符合</w:t>
      </w:r>
      <w:r>
        <w:rPr>
          <w:rStyle w:val="8"/>
          <w:rFonts w:hint="eastAsia" w:ascii="宋体" w:hAnsi="宋体" w:eastAsia="宋体" w:cs="宋体"/>
          <w:color w:val="auto"/>
          <w:sz w:val="24"/>
          <w:szCs w:val="24"/>
          <w:highlight w:val="none"/>
        </w:rPr>
        <w:t>网络安全等级保护</w:t>
      </w:r>
      <w:r>
        <w:rPr>
          <w:rFonts w:hint="eastAsia" w:ascii="宋体" w:hAnsi="宋体" w:eastAsia="宋体" w:cs="宋体"/>
          <w:color w:val="auto"/>
          <w:sz w:val="24"/>
          <w:szCs w:val="24"/>
          <w:highlight w:val="none"/>
        </w:rPr>
        <w:t>有关管理规范和技术标准的，提出可行性整改方案，提供相应的安全整改建议书。</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A．等级测评及服务原则：符合性原则、标准性原则、规范性原则、可控性原则、整体性原则。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Style w:val="8"/>
          <w:rFonts w:hint="eastAsia" w:ascii="宋体" w:hAnsi="宋体" w:eastAsia="宋体" w:cs="宋体"/>
          <w:color w:val="auto"/>
          <w:sz w:val="24"/>
          <w:szCs w:val="24"/>
          <w:highlight w:val="none"/>
        </w:rPr>
        <w:t>网络安全等级保护</w:t>
      </w:r>
      <w:r>
        <w:rPr>
          <w:rFonts w:hint="eastAsia" w:ascii="宋体" w:hAnsi="宋体" w:eastAsia="宋体" w:cs="宋体"/>
          <w:color w:val="auto"/>
          <w:sz w:val="24"/>
          <w:szCs w:val="24"/>
          <w:highlight w:val="none"/>
        </w:rPr>
        <w:t>定级及测评服务依据：</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《中华人民共和国网络安全法》</w:t>
      </w:r>
    </w:p>
    <w:p>
      <w:pPr>
        <w:pageBreakBefore w:val="0"/>
        <w:widowControl w:val="0"/>
        <w:kinsoku/>
        <w:wordWrap/>
        <w:overflowPunct/>
        <w:topLinePunct w:val="0"/>
        <w:autoSpaceDE/>
        <w:autoSpaceDN/>
        <w:bidi w:val="0"/>
        <w:spacing w:line="360" w:lineRule="auto"/>
        <w:ind w:firstLine="482" w:firstLineChars="200"/>
        <w:textAlignment w:val="auto"/>
        <w:rPr>
          <w:rStyle w:val="8"/>
          <w:rFonts w:hint="eastAsia" w:ascii="宋体" w:hAnsi="宋体" w:eastAsia="宋体" w:cs="宋体"/>
          <w:b w:val="0"/>
          <w:color w:val="auto"/>
          <w:sz w:val="24"/>
          <w:szCs w:val="24"/>
          <w:highlight w:val="none"/>
        </w:rPr>
      </w:pPr>
      <w:r>
        <w:rPr>
          <w:rStyle w:val="8"/>
          <w:rFonts w:hint="eastAsia" w:ascii="宋体" w:hAnsi="宋体" w:eastAsia="宋体" w:cs="宋体"/>
          <w:color w:val="auto"/>
          <w:sz w:val="24"/>
          <w:szCs w:val="24"/>
          <w:highlight w:val="none"/>
        </w:rPr>
        <w:t>《GB/T22239-2019信息安全技术 网络安全等级保护基本要求》，</w:t>
      </w:r>
    </w:p>
    <w:p>
      <w:pPr>
        <w:pageBreakBefore w:val="0"/>
        <w:widowControl w:val="0"/>
        <w:kinsoku/>
        <w:wordWrap/>
        <w:overflowPunct/>
        <w:topLinePunct w:val="0"/>
        <w:autoSpaceDE/>
        <w:autoSpaceDN/>
        <w:bidi w:val="0"/>
        <w:spacing w:line="360" w:lineRule="auto"/>
        <w:ind w:firstLine="482" w:firstLineChars="200"/>
        <w:textAlignment w:val="auto"/>
        <w:rPr>
          <w:rStyle w:val="8"/>
          <w:rFonts w:hint="eastAsia" w:ascii="宋体" w:hAnsi="宋体" w:eastAsia="宋体" w:cs="宋体"/>
          <w:b w:val="0"/>
          <w:color w:val="auto"/>
          <w:sz w:val="24"/>
          <w:szCs w:val="24"/>
          <w:highlight w:val="none"/>
        </w:rPr>
      </w:pPr>
      <w:r>
        <w:rPr>
          <w:rStyle w:val="8"/>
          <w:rFonts w:hint="eastAsia" w:ascii="宋体" w:hAnsi="宋体" w:eastAsia="宋体" w:cs="宋体"/>
          <w:color w:val="auto"/>
          <w:sz w:val="24"/>
          <w:szCs w:val="24"/>
          <w:highlight w:val="none"/>
        </w:rPr>
        <w:t>《GB/T28448-2019 信息安全技术 网络安全等级保护测评要求》，</w:t>
      </w:r>
    </w:p>
    <w:p>
      <w:pPr>
        <w:pageBreakBefore w:val="0"/>
        <w:widowControl w:val="0"/>
        <w:kinsoku/>
        <w:wordWrap/>
        <w:overflowPunct/>
        <w:topLinePunct w:val="0"/>
        <w:autoSpaceDE/>
        <w:autoSpaceDN/>
        <w:bidi w:val="0"/>
        <w:spacing w:line="360" w:lineRule="auto"/>
        <w:ind w:firstLine="482" w:firstLineChars="200"/>
        <w:textAlignment w:val="auto"/>
        <w:rPr>
          <w:rStyle w:val="8"/>
          <w:rFonts w:hint="eastAsia" w:ascii="宋体" w:hAnsi="宋体" w:eastAsia="宋体" w:cs="宋体"/>
          <w:b w:val="0"/>
          <w:color w:val="auto"/>
          <w:sz w:val="24"/>
          <w:szCs w:val="24"/>
          <w:highlight w:val="none"/>
        </w:rPr>
      </w:pPr>
      <w:r>
        <w:rPr>
          <w:rStyle w:val="8"/>
          <w:rFonts w:hint="eastAsia" w:ascii="宋体" w:hAnsi="宋体" w:eastAsia="宋体" w:cs="宋体"/>
          <w:color w:val="auto"/>
          <w:sz w:val="24"/>
          <w:szCs w:val="24"/>
          <w:highlight w:val="none"/>
        </w:rPr>
        <w:t>《GB/T 28449-2018 信息安全技术 网络安全等级保护测评过程指南》，</w:t>
      </w:r>
    </w:p>
    <w:p>
      <w:pPr>
        <w:pageBreakBefore w:val="0"/>
        <w:widowControl w:val="0"/>
        <w:kinsoku/>
        <w:wordWrap/>
        <w:overflowPunct/>
        <w:topLinePunct w:val="0"/>
        <w:autoSpaceDE/>
        <w:autoSpaceDN/>
        <w:bidi w:val="0"/>
        <w:spacing w:line="360" w:lineRule="auto"/>
        <w:ind w:firstLine="482" w:firstLineChars="200"/>
        <w:textAlignment w:val="auto"/>
        <w:rPr>
          <w:rStyle w:val="8"/>
          <w:rFonts w:hint="eastAsia" w:ascii="宋体" w:hAnsi="宋体" w:eastAsia="宋体" w:cs="宋体"/>
          <w:b w:val="0"/>
          <w:color w:val="auto"/>
          <w:sz w:val="24"/>
          <w:szCs w:val="24"/>
          <w:highlight w:val="none"/>
        </w:rPr>
      </w:pPr>
      <w:r>
        <w:rPr>
          <w:rStyle w:val="8"/>
          <w:rFonts w:hint="eastAsia" w:ascii="宋体" w:hAnsi="宋体" w:eastAsia="宋体" w:cs="宋体"/>
          <w:color w:val="auto"/>
          <w:sz w:val="24"/>
          <w:szCs w:val="24"/>
          <w:highlight w:val="none"/>
        </w:rPr>
        <w:t>《GB/T 25058-2019 信息安全技术 网络安全等级保护实施指南》。</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3.网络安全等级保护测评内容：</w:t>
      </w:r>
    </w:p>
    <w:p>
      <w:pPr>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A．安全技术测评：包括安全物理环境、安全区域边界、安全通信网络、安全计算环境和安全管理中心五个方面的安全测评；</w:t>
      </w:r>
    </w:p>
    <w:p>
      <w:pPr>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B．安全管理测评：安全管理机构、安全管理制度、安全管理人员、安全建设管理和安全运维管理五个方面的安全控制测评</w:t>
      </w:r>
    </w:p>
    <w:p>
      <w:pPr>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4.提供整改咨询服务，根据所测系统的最终测评报告，对系统现状提出安全整改建议并协助整改工作，以期达到整改目的。</w:t>
      </w:r>
    </w:p>
    <w:p>
      <w:pPr>
        <w:keepNext/>
        <w:keepLines/>
        <w:pageBreakBefore w:val="0"/>
        <w:widowControl w:val="0"/>
        <w:numPr>
          <w:ilvl w:val="1"/>
          <w:numId w:val="0"/>
        </w:numPr>
        <w:tabs>
          <w:tab w:val="left" w:pos="992"/>
        </w:tabs>
        <w:kinsoku/>
        <w:wordWrap/>
        <w:overflowPunct/>
        <w:topLinePunct w:val="0"/>
        <w:autoSpaceDE/>
        <w:autoSpaceDN/>
        <w:bidi w:val="0"/>
        <w:spacing w:before="260" w:after="260" w:line="360" w:lineRule="auto"/>
        <w:ind w:left="576"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测评原则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1.客观性和公正性原则：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测评人员应当没有偏见，在最小主观判断情形下，按照评估双方相互认可的评估方案，基于明确定义的测评方式和解释，实施评估活动。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2.可重复性和可再现性原则：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3.连续性原则：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4.扩展性原则：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在评估过程结束后，信息安全测评过程要保持扩展性，从扩展的属性上进一步加强测评结束后采购方的安全管理有效性和可用性。</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在测评过程中，需严格遵循保密原则，双方签订保密协议，对服务过程中涉及到的任何用户信息未经允许不向其他任何第三方泄漏，以及不得利用这些信息损害采购方利益。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6.互动原则：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在整个测评过程中，强调采购方的互动参与，每个阶段都能够及时根据采购方的要求和实际情况对测评的内容、方式做出相关调整，进而更好的进行风险评估工作。</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7.最小影响原则：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测评工作应该尽可能小地影响系统和网络的正常运行，不能对业务的正常运行产生明显的影响（包括系统性能明显下降、网络阻塞、服务中断等），如无法避免，则应做出说明。</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8.规范性原则：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网络安全等级保护测评服务的实施必须由专业的测评服务人员依照规范的操作流程进行，对操作过程和结果要有相应的记录，并提供完整的服务报告。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9.质量保障原则：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在整个测评过程中，须特别重视项目质量管理。项目的实施将严格按照项目实施方案和流程进行，并由项目协调小组从中监督，控制项目的进度和质量。</w:t>
      </w:r>
    </w:p>
    <w:p>
      <w:pPr>
        <w:keepNext/>
        <w:keepLines/>
        <w:pageBreakBefore w:val="0"/>
        <w:widowControl w:val="0"/>
        <w:numPr>
          <w:ilvl w:val="1"/>
          <w:numId w:val="0"/>
        </w:numPr>
        <w:tabs>
          <w:tab w:val="left" w:pos="992"/>
        </w:tabs>
        <w:kinsoku/>
        <w:wordWrap/>
        <w:overflowPunct/>
        <w:topLinePunct w:val="0"/>
        <w:autoSpaceDE/>
        <w:autoSpaceDN/>
        <w:bidi w:val="0"/>
        <w:spacing w:before="260" w:after="260" w:line="360" w:lineRule="auto"/>
        <w:ind w:left="576"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测评人员和时限要求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1.测评人员要求：本次测评至少需要1名高级测评师，1名中级测评师，2名初级测评师。本次等保测评项目不得转包或者分包，所有测评师必须是</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自己的正式员工,所有测评师必须持证上岗，响应文件中应提供项目组成员名单、社保主管部门出具的响应单位为其缴纳社保的证明、相关证书复印件等，未经采购方同意，项目组成员不得更改。</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2.测评时间要求：按照被测单位要求，合同签订完毕一周内启动测评工作。</w:t>
      </w:r>
    </w:p>
    <w:p>
      <w:pPr>
        <w:pageBreakBefore w:val="0"/>
        <w:widowControl w:val="0"/>
        <w:kinsoku/>
        <w:wordWrap/>
        <w:overflowPunct/>
        <w:topLinePunct w:val="0"/>
        <w:autoSpaceDE/>
        <w:autoSpaceDN/>
        <w:bidi w:val="0"/>
        <w:adjustRightInd w:val="0"/>
        <w:snapToGrid w:val="0"/>
        <w:spacing w:before="108"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3.测评期限要求：签订合同后60天内完成网络安全等级保护测评并出具盖章报告，并完成备案</w:t>
      </w:r>
      <w:r>
        <w:rPr>
          <w:rFonts w:hint="eastAsia" w:ascii="宋体" w:hAnsi="宋体" w:eastAsia="宋体" w:cs="宋体"/>
          <w:color w:val="auto"/>
          <w:sz w:val="24"/>
          <w:szCs w:val="24"/>
          <w:highlight w:val="none"/>
          <w:lang w:eastAsia="zh-CN"/>
        </w:rPr>
        <w:t>。</w:t>
      </w:r>
    </w:p>
    <w:p>
      <w:pPr>
        <w:adjustRightInd w:val="0"/>
        <w:snapToGrid w:val="0"/>
        <w:spacing w:before="108" w:line="360" w:lineRule="auto"/>
        <w:ind w:firstLine="723" w:firstLineChars="3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四、其他</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网络安全服务期限要求：合同签订起一年。</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测评期限要求: 签订合同后60天内完成网络安全等级保护测评并出具盖章报告，并完成备案。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3、交货（服务）地点：采购方现场。</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bookmarkStart w:id="2" w:name="_Hlk99101092"/>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合同签订后收到</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正式合法有效税务发票的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日内支付合同款50%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提交测评报告后，采购人于2023年12月20日前收到成交供应商</w:t>
      </w:r>
      <w:r>
        <w:rPr>
          <w:rFonts w:hint="eastAsia" w:ascii="宋体" w:hAnsi="宋体" w:eastAsia="宋体" w:cs="宋体"/>
          <w:color w:val="auto"/>
          <w:sz w:val="24"/>
          <w:szCs w:val="24"/>
          <w:highlight w:val="none"/>
          <w:lang w:eastAsia="zh-CN"/>
        </w:rPr>
        <w:t>正式合法有效税务发票</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余款</w:t>
      </w:r>
      <w:r>
        <w:rPr>
          <w:rFonts w:hint="eastAsia" w:ascii="宋体" w:hAnsi="宋体" w:eastAsia="宋体" w:cs="宋体"/>
          <w:color w:val="auto"/>
          <w:sz w:val="24"/>
          <w:szCs w:val="24"/>
          <w:highlight w:val="none"/>
        </w:rPr>
        <w:t>。</w:t>
      </w:r>
      <w:bookmarkEnd w:id="2"/>
      <w:r>
        <w:rPr>
          <w:rFonts w:hint="eastAsia" w:ascii="宋体" w:hAnsi="宋体" w:eastAsia="宋体" w:cs="宋体"/>
          <w:color w:val="auto"/>
          <w:sz w:val="24"/>
          <w:szCs w:val="24"/>
          <w:highlight w:val="none"/>
          <w:lang w:val="en-US" w:eastAsia="zh-CN"/>
        </w:rPr>
        <w:t>以上付款均不计利息。</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的原因所造成的额外费用，由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自行承担。如果采购人要求删除或增加功能，</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应适当调整，但是</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文件中的各项优惠条件保持不变。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如果有其他优惠条件，必须作专门说明。</w:t>
      </w:r>
    </w:p>
    <w:p>
      <w:pPr>
        <w:keepNext w:val="0"/>
        <w:keepLines w:val="0"/>
        <w:pageBreakBefore w:val="0"/>
        <w:widowControl w:val="0"/>
        <w:kinsoku/>
        <w:wordWrap/>
        <w:overflowPunct/>
        <w:topLinePunct w:val="0"/>
        <w:autoSpaceDE/>
        <w:autoSpaceDN/>
        <w:bidi w:val="0"/>
        <w:adjustRightInd w:val="0"/>
        <w:snapToGrid w:val="0"/>
        <w:spacing w:before="108"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6、以上条款的内容如果需要修改或者有其他未涉及的事项，由双方协商解决</w:t>
      </w:r>
      <w:r>
        <w:rPr>
          <w:rFonts w:hint="eastAsia" w:ascii="宋体" w:hAnsi="宋体" w:eastAsia="宋体" w:cs="宋体"/>
          <w:color w:val="auto"/>
          <w:sz w:val="24"/>
          <w:szCs w:val="24"/>
          <w:highlight w:val="none"/>
          <w:lang w:eastAsia="zh-CN"/>
        </w:rPr>
        <w:t>。</w:t>
      </w:r>
    </w:p>
    <w:p>
      <w:pPr>
        <w:adjustRightInd w:val="0"/>
        <w:snapToGrid w:val="0"/>
        <w:spacing w:before="108" w:line="360" w:lineRule="auto"/>
        <w:ind w:firstLine="723" w:firstLineChars="3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五、违约情况</w:t>
      </w:r>
    </w:p>
    <w:p>
      <w:pPr>
        <w:keepNext w:val="0"/>
        <w:keepLines w:val="0"/>
        <w:pageBreakBefore w:val="0"/>
        <w:widowControl w:val="0"/>
        <w:kinsoku/>
        <w:wordWrap/>
        <w:overflowPunct/>
        <w:topLinePunct w:val="0"/>
        <w:autoSpaceDE/>
        <w:autoSpaceDN/>
        <w:bidi w:val="0"/>
        <w:adjustRightInd w:val="0"/>
        <w:snapToGrid w:val="0"/>
        <w:spacing w:before="108"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1、若在供应商服务期间发生重大网络安全事故，每发生一次扣除供应商合同总金额的5%。</w:t>
      </w:r>
    </w:p>
    <w:p>
      <w:pPr>
        <w:keepNext w:val="0"/>
        <w:keepLines w:val="0"/>
        <w:pageBreakBefore w:val="0"/>
        <w:widowControl w:val="0"/>
        <w:kinsoku/>
        <w:wordWrap/>
        <w:overflowPunct/>
        <w:topLinePunct w:val="0"/>
        <w:autoSpaceDE/>
        <w:autoSpaceDN/>
        <w:bidi w:val="0"/>
        <w:adjustRightInd w:val="0"/>
        <w:snapToGrid w:val="0"/>
        <w:spacing w:before="108"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2、若供应商未经采购人书面同意转让本合同下的业务，采购人有权拒绝支付或扣减转让部分的服务费用，扣减费用如不足以弥补采购人损失，则供应商还应补偿采购人因此造成的损失。</w:t>
      </w:r>
    </w:p>
    <w:p>
      <w:pPr>
        <w:keepNext w:val="0"/>
        <w:keepLines w:val="0"/>
        <w:pageBreakBefore w:val="0"/>
        <w:widowControl w:val="0"/>
        <w:kinsoku/>
        <w:wordWrap/>
        <w:overflowPunct/>
        <w:topLinePunct w:val="0"/>
        <w:autoSpaceDE/>
        <w:autoSpaceDN/>
        <w:bidi w:val="0"/>
        <w:adjustRightInd w:val="0"/>
        <w:snapToGrid w:val="0"/>
        <w:spacing w:before="108"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3、因供应商原因造成的设备损坏的，供应商应进行修理、更换并赔偿采购人因此造成的损失。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A6037"/>
    <w:multiLevelType w:val="singleLevel"/>
    <w:tmpl w:val="107A6037"/>
    <w:lvl w:ilvl="0" w:tentative="0">
      <w:start w:val="1"/>
      <w:numFmt w:val="chineseCounting"/>
      <w:suff w:val="nothing"/>
      <w:lvlText w:val="%1、"/>
      <w:lvlJc w:val="left"/>
      <w:rPr>
        <w:rFonts w:hint="eastAsia"/>
      </w:rPr>
    </w:lvl>
  </w:abstractNum>
  <w:abstractNum w:abstractNumId="1">
    <w:nsid w:val="135E3747"/>
    <w:multiLevelType w:val="multilevel"/>
    <w:tmpl w:val="135E37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525C1"/>
    <w:rsid w:val="01705C99"/>
    <w:rsid w:val="078525C1"/>
    <w:rsid w:val="100828AD"/>
    <w:rsid w:val="147E133E"/>
    <w:rsid w:val="167421DE"/>
    <w:rsid w:val="187675E6"/>
    <w:rsid w:val="1946255C"/>
    <w:rsid w:val="2418219D"/>
    <w:rsid w:val="266D1322"/>
    <w:rsid w:val="27026E1B"/>
    <w:rsid w:val="2A790643"/>
    <w:rsid w:val="32047E1A"/>
    <w:rsid w:val="36BD095F"/>
    <w:rsid w:val="37FF0092"/>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3">
    <w:name w:val="heading 3"/>
    <w:basedOn w:val="1"/>
    <w:next w:val="1"/>
    <w:qFormat/>
    <w:uiPriority w:val="9"/>
    <w:pPr>
      <w:ind w:left="220"/>
      <w:outlineLvl w:val="2"/>
    </w:pPr>
    <w:rPr>
      <w:rFonts w:ascii="仿宋" w:hAnsi="仿宋" w:eastAsia="仿宋" w:cs="仿宋"/>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7">
    <w:name w:val="List Paragraph"/>
    <w:basedOn w:val="1"/>
    <w:qFormat/>
    <w:uiPriority w:val="34"/>
    <w:pPr>
      <w:ind w:firstLine="420" w:firstLineChars="200"/>
    </w:pPr>
    <w:rPr>
      <w:rFonts w:cs="Times New Roman"/>
      <w:szCs w:val="22"/>
    </w:rPr>
  </w:style>
  <w:style w:type="character" w:customStyle="1" w:styleId="8">
    <w:name w:val="样式 小四 加粗"/>
    <w:basedOn w:val="6"/>
    <w:qFormat/>
    <w:uiPriority w:val="0"/>
    <w:rPr>
      <w:rFonts w:eastAsia="黑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2023-04-21T07:50:00Z</dcterms:created>
  <dc:creator>L</dc:creator>
  <cp:lastModifiedBy>L</cp:lastModifiedBy>
  <dcterms:modified xsi:type="dcterms:W3CDTF">2023-04-21T07:51:06Z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B37ECE08C63F43C0AD1174BDBB2A803B</vt:lpwstr>
  </property>
</Properties>
</file>